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57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737"/>
        <w:gridCol w:w="3650"/>
        <w:gridCol w:w="1752"/>
        <w:gridCol w:w="7"/>
      </w:tblGrid>
      <w:tr w:rsidR="004C6DB6" w:rsidRPr="004C6DB6" w:rsidTr="004C6DB6">
        <w:trPr>
          <w:gridAfter w:val="1"/>
          <w:wAfter w:w="7" w:type="dxa"/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Nazwa i adres jednostki sprawozdawczej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Adresat:</w:t>
            </w:r>
          </w:p>
        </w:tc>
      </w:tr>
      <w:tr w:rsidR="004C6DB6" w:rsidRPr="004C6DB6" w:rsidTr="004C6DB6">
        <w:trPr>
          <w:gridAfter w:val="1"/>
          <w:wAfter w:w="7" w:type="dxa"/>
          <w:trHeight w:val="300"/>
        </w:trPr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Centrum Usług Informatycznych w Białymstoku                               ul. Warszawska 13 lok. 7U                                                       15-062 Białystok</w:t>
            </w:r>
          </w:p>
        </w:tc>
        <w:tc>
          <w:tcPr>
            <w:tcW w:w="538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B I L A N S</w:t>
            </w:r>
          </w:p>
        </w:tc>
        <w:tc>
          <w:tcPr>
            <w:tcW w:w="17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Urząd Miejski                                            w Białymstoku                                           ul. Słonimska 1                                      </w:t>
            </w:r>
          </w:p>
        </w:tc>
      </w:tr>
      <w:tr w:rsidR="004C6DB6" w:rsidRPr="004C6DB6" w:rsidTr="004C6DB6">
        <w:trPr>
          <w:gridAfter w:val="1"/>
          <w:wAfter w:w="7" w:type="dxa"/>
          <w:trHeight w:val="450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8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255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jednostki budżetowej lub samorządowego zakładu budżetowego</w:t>
            </w: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Numer identyfikacyjny REGON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sporządzony</w:t>
            </w:r>
          </w:p>
        </w:tc>
        <w:tc>
          <w:tcPr>
            <w:tcW w:w="17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42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381754873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na dzień 31 grudnia 2019 roku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Wysłać bez pisma przewodniego</w:t>
            </w:r>
          </w:p>
        </w:tc>
      </w:tr>
      <w:tr w:rsidR="004C6DB6" w:rsidRPr="004C6DB6" w:rsidTr="004C6DB6">
        <w:trPr>
          <w:trHeight w:val="180"/>
        </w:trPr>
        <w:tc>
          <w:tcPr>
            <w:tcW w:w="11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7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AKTYWA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                                                 na koniec roku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PASYWA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                                               na koniec roku</w:t>
            </w:r>
          </w:p>
        </w:tc>
      </w:tr>
      <w:tr w:rsidR="004C6DB6" w:rsidRPr="004C6DB6" w:rsidTr="004C6DB6">
        <w:trPr>
          <w:gridAfter w:val="1"/>
          <w:wAfter w:w="7" w:type="dxa"/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A. Aktywa trwałe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2 859 196,45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A. Fundusz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2 553 169,20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I.Wartości niematerialne i prawne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138 347,97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I. Fundusz jednostki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7 369 878,36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II.Rzeczowe aktywa trwałe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2 720 848,48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II. Wynik finansowy netto (+, -)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-4 816 709,16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Środki trwałe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2 720 848,48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Zysk netto (+)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0,00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1.1. Grunty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Strata netto (-)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-4 816 709,16</w:t>
            </w:r>
          </w:p>
        </w:tc>
      </w:tr>
      <w:tr w:rsidR="004C6DB6" w:rsidRPr="004C6DB6" w:rsidTr="004C6DB6">
        <w:trPr>
          <w:gridAfter w:val="1"/>
          <w:wAfter w:w="7" w:type="dxa"/>
          <w:trHeight w:val="7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1.1.1. Grunty stanowiące własność jednostki samorz adu terytorialnego przekazne w uzytkowanie wieczyste innym podmiotom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III. Odpisy z wyniku finansowego (nadwyżka środków obrotowych) (-)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1.2. Budynki, lokale i obiekty inżynierii lądowej i wodnej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2 445 758,11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IV. Fundusz mienia zlikwidowanych jednostek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1.3. Urządzenia techniczne i maszyny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244 947,14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B. Fundusze placówek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C. Państwowe fundusze celowe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1.4. Środki transportu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D. Zobowiązania i rezerwy na zobowiązania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306 027,25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1.5. Inne środki trwałe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30 143,23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I. Zobowiązania długoterminowe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2. Środki trwałe w budowie (inwestycje)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II. Zobowiązania krótkoterminowe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306 027,25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3. Zaliczki na środki trwałe w budowie (inwestycje)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Zobowiązania z tytułu dostaw i usług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1 021,00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III. Należności długoterminowe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Zobowiązania wobec budżetów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22 408,09</w:t>
            </w:r>
          </w:p>
        </w:tc>
      </w:tr>
      <w:tr w:rsidR="004C6DB6" w:rsidRPr="004C6DB6" w:rsidTr="004C6DB6">
        <w:trPr>
          <w:gridAfter w:val="1"/>
          <w:wAfter w:w="7" w:type="dxa"/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IV. Długoterminowe aktywa finansowe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0,00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 Zobowiązania z tytułu ubezpieczeń i innych świadczeń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45 699,84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Akcje i udziały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 Zobowiązania z tytułu wynagrodzeń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236 898,32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2. Inne papiery wartościowe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 Pozostałe zobowiązania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 Inne długoterminowe aktywa finansowe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 Sumy obce (depozytowe, zabezpieczenie wykonania umów)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V. Wartość mienia zlikwidowanych jednostek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 Rozliczenia z tytułu środków na wydatki budżetowe i z tytułu dochodów budżetowych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B. Aktywa obrotowe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5 872,26</w:t>
            </w:r>
          </w:p>
        </w:tc>
        <w:tc>
          <w:tcPr>
            <w:tcW w:w="3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 Fundusze specjalne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5 872,26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I. Zapasy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0,00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8.1. Zakładowy Fundusz Świadcz. Socjalnych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5 872,26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Materiały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8.2. Inne fundusze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Półprodukty i produkty w toku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III. Rezerwy na zobowiązania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 Produkty gotowe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IV.Rozliczenia międzyokresowe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 Towary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II. Należności krótkoterminowe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0,00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Należności z tytułu dostaw i usług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Należności od budżetów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 Należności z tytułu ubezpieczeń  i innych świadczeń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 Pozostałe należności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5. Rozliczenia z tytułu środków na wydatki budżetowe i z tytułu dochodów budżetowych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III. Krótkoterminowe aktywa finansowe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5 872,26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Środki pieniężne w kasie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Środki pieniężne na rachunkach bankowych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5 872,26</w:t>
            </w:r>
          </w:p>
        </w:tc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 Środki pieniężne państwowego funduszu celowego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 Inne środki pieniężne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 Akcje lub udziały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 Inne papiery wartościowe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 Inne krótkoterminowe aktywa finansowe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IV. Rozliczenia międzyokresowe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C6DB6" w:rsidRPr="004C6DB6" w:rsidTr="004C6DB6">
        <w:trPr>
          <w:gridAfter w:val="1"/>
          <w:wAfter w:w="7" w:type="dxa"/>
          <w:trHeight w:val="3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Suma aktywów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2 865 068,71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Suma pasywów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2 865 068,71</w:t>
            </w: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1)</w:t>
            </w: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ODPOWIEDNIE SKREŚLIĆ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26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26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26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9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627FF5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</w:t>
            </w:r>
            <w:r w:rsidRPr="00627F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Krystyna Wojcieszyk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2020-03-12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627FF5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Krzysztof Lachowski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4C6DB6">
        <w:trPr>
          <w:gridAfter w:val="1"/>
          <w:wAfter w:w="7" w:type="dxa"/>
          <w:trHeight w:val="31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/główny księgowy/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/rok-miesiąc-dzień/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                          /kierownik jednostki/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962692" w:rsidRDefault="00962692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p w:rsidR="004C6DB6" w:rsidRDefault="004C6DB6"/>
    <w:tbl>
      <w:tblPr>
        <w:tblpPr w:leftFromText="141" w:rightFromText="141" w:horzAnchor="margin" w:tblpXSpec="center" w:tblpY="-540"/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3394"/>
        <w:gridCol w:w="3260"/>
      </w:tblGrid>
      <w:tr w:rsidR="004C6DB6" w:rsidRPr="004C6DB6" w:rsidTr="00627FF5">
        <w:trPr>
          <w:trHeight w:val="39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Nazwa i adres jednostki sprawozdawczej</w:t>
            </w:r>
          </w:p>
        </w:tc>
        <w:tc>
          <w:tcPr>
            <w:tcW w:w="339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Rachunek zysków i strat jednostki                            (wariant porównawczy)                                               sporządzony                                                                                   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Adresat:                                                                                                                         Urząd Miejski w Białymstoku                                               ul. Słonimska 1</w:t>
            </w:r>
          </w:p>
        </w:tc>
      </w:tr>
      <w:tr w:rsidR="004C6DB6" w:rsidRPr="004C6DB6" w:rsidTr="00627FF5">
        <w:trPr>
          <w:trHeight w:val="84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Centrum Usług Informatycznych </w:t>
            </w:r>
            <w:r w:rsidR="00627F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</w:t>
            </w: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w Białymstoku    </w:t>
            </w:r>
            <w:r w:rsidR="00627F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</w:t>
            </w: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ul. Warszawska 13 lok. 7U                                                       15-062 Białystok</w:t>
            </w:r>
          </w:p>
        </w:tc>
        <w:tc>
          <w:tcPr>
            <w:tcW w:w="339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C6DB6" w:rsidRPr="004C6DB6" w:rsidTr="00627FF5">
        <w:trPr>
          <w:trHeight w:val="13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Numer identyfikacyjny REGON</w:t>
            </w:r>
          </w:p>
        </w:tc>
        <w:tc>
          <w:tcPr>
            <w:tcW w:w="33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 dzień 31 grudnia 2019r.</w:t>
            </w: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C6DB6" w:rsidRPr="004C6DB6" w:rsidTr="00627FF5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381754873</w:t>
            </w:r>
          </w:p>
        </w:tc>
        <w:tc>
          <w:tcPr>
            <w:tcW w:w="33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wysła</w:t>
            </w:r>
            <w:r w:rsidR="00627F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ć</w:t>
            </w: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bez pisma przewodniego</w:t>
            </w:r>
          </w:p>
        </w:tc>
      </w:tr>
      <w:tr w:rsidR="004C6DB6" w:rsidRPr="004C6DB6" w:rsidTr="00627FF5">
        <w:trPr>
          <w:trHeight w:val="23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A. Przychody netto z podstawowej działalności operacyjnej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0,00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Przychody netto ze sprzedaży produktów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3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Zmiana stanu produktów (zwiekszenia - wartość dodatnia, zmniejszenie - wartość ujemna)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III. Koszt wytworzenia produktów na własne potrzeby jednostki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IV. Przychody netto ze sprzedaży towarów i materiałów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V. Dotacje na finansowanie działalności podstawowej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VI.  Przychody z tytułu dochodów budżetowych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1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B. Koszty działalności operacyjnej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4 817 567,36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Amortyzacja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112 722,13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Zużycie materiałów i energii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292 896,26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III. Usługi obce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66 801,37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IV. Podatki i opłaty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37 123,00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.V. Wynagrodzenia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3 496 620,81</w:t>
            </w:r>
          </w:p>
        </w:tc>
      </w:tr>
      <w:tr w:rsidR="004C6DB6" w:rsidRPr="004C6DB6" w:rsidTr="00627FF5">
        <w:trPr>
          <w:trHeight w:val="32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VI. Ubezpieczenia społeczne i inne świadczenia dla pracowników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798 186,49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VII. Pozostałe koszty rodzajowe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13 217,30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VIII. Wartość sprzedanych towarów i  materiałów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IX. Inne świadczenia finansowane z budżetu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X. Pozostałe obciążenia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1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C. Zysk (strata) z działalności podstwowej (A-B)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-4 817 567,36</w:t>
            </w:r>
          </w:p>
        </w:tc>
      </w:tr>
      <w:tr w:rsidR="004C6DB6" w:rsidRPr="004C6DB6" w:rsidTr="00627FF5">
        <w:trPr>
          <w:trHeight w:val="31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D. Pozostałe przychody operacyjne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487,80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Zysk ze zbycia niefinansowych aktywów trwałych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487,80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Dotacje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III. Inne przychody operacyjne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48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E. Pozostałe koszty operacyjne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0,00</w:t>
            </w:r>
          </w:p>
        </w:tc>
      </w:tr>
      <w:tr w:rsidR="004C6DB6" w:rsidRPr="004C6DB6" w:rsidTr="00627FF5">
        <w:trPr>
          <w:trHeight w:val="44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Pozostałe koszty operacyjne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1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F. Zysk (strata) z działalności operacyjnej (C+D-E)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-4 817 079,56</w:t>
            </w:r>
          </w:p>
        </w:tc>
      </w:tr>
      <w:tr w:rsidR="004C6DB6" w:rsidRPr="004C6DB6" w:rsidTr="00627FF5">
        <w:trPr>
          <w:trHeight w:val="31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G. Przychody finansowe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370,40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Dywidendy i udziały w zyskach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Odsetki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III. Inne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370,40</w:t>
            </w:r>
          </w:p>
        </w:tc>
      </w:tr>
      <w:tr w:rsidR="004C6DB6" w:rsidRPr="004C6DB6" w:rsidTr="00627FF5">
        <w:trPr>
          <w:trHeight w:val="27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H. Koszty finansowe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0,00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I. Odsetki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264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II. Inne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30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I. Zysk (strata) z działalności gospodarczej (F+G-H)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-4 816 709,16</w:t>
            </w:r>
          </w:p>
        </w:tc>
      </w:tr>
      <w:tr w:rsidR="004C6DB6" w:rsidRPr="004C6DB6" w:rsidTr="00627FF5">
        <w:trPr>
          <w:trHeight w:val="330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J. Podatek dochodowy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30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K. Pozostałe obowiązkowe zmniejszenia zysku (zwiększenia straty)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</w:tr>
      <w:tr w:rsidR="004C6DB6" w:rsidRPr="004C6DB6" w:rsidTr="00627FF5">
        <w:trPr>
          <w:trHeight w:val="330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L. Zysk (strata) netto (I-J-K)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6" w:rsidRPr="004C6DB6" w:rsidRDefault="004C6DB6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-4 816 709,16</w:t>
            </w:r>
          </w:p>
        </w:tc>
      </w:tr>
      <w:tr w:rsidR="00627FF5" w:rsidRPr="004C6DB6" w:rsidTr="00627FF5">
        <w:trPr>
          <w:trHeight w:val="264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FF5" w:rsidRPr="004C6DB6" w:rsidRDefault="00627FF5" w:rsidP="004C6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FF5" w:rsidRPr="004C6DB6" w:rsidRDefault="00627FF5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7FF5" w:rsidRPr="004C6DB6" w:rsidRDefault="00627FF5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6DB6" w:rsidRPr="004C6DB6" w:rsidTr="00627FF5">
        <w:trPr>
          <w:trHeight w:val="264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627FF5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</w:t>
            </w:r>
            <w:r w:rsidRPr="00627F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Krystyna Wojcieszyk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627FF5" w:rsidP="004C6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Krzysztof Lachowski</w:t>
            </w:r>
          </w:p>
        </w:tc>
      </w:tr>
      <w:tr w:rsidR="004C6DB6" w:rsidRPr="004C6DB6" w:rsidTr="00627FF5">
        <w:trPr>
          <w:trHeight w:val="32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/główny księgowy/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/rok-miesiąc-dzień/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DB6" w:rsidRPr="004C6DB6" w:rsidRDefault="004C6DB6" w:rsidP="004C6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C6D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/kierownik jednostki/</w:t>
            </w:r>
          </w:p>
        </w:tc>
      </w:tr>
    </w:tbl>
    <w:p w:rsidR="004C6DB6" w:rsidRDefault="004C6DB6"/>
    <w:tbl>
      <w:tblPr>
        <w:tblW w:w="10721" w:type="dxa"/>
        <w:tblInd w:w="-8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62"/>
        <w:gridCol w:w="540"/>
        <w:gridCol w:w="3737"/>
        <w:gridCol w:w="2234"/>
        <w:gridCol w:w="260"/>
        <w:gridCol w:w="1441"/>
        <w:gridCol w:w="1559"/>
        <w:gridCol w:w="148"/>
      </w:tblGrid>
      <w:tr w:rsidR="00627FF5" w:rsidRPr="00627FF5" w:rsidTr="00AF016E">
        <w:trPr>
          <w:trHeight w:val="276"/>
        </w:trPr>
        <w:tc>
          <w:tcPr>
            <w:tcW w:w="5079" w:type="dxa"/>
            <w:gridSpan w:val="4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Nazwa i adres jednostki sprawozdawczej</w:t>
            </w:r>
          </w:p>
        </w:tc>
        <w:tc>
          <w:tcPr>
            <w:tcW w:w="2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Zestawienie zmian                                                       w funduszu jednostki                               sporządzone</w:t>
            </w:r>
          </w:p>
        </w:tc>
        <w:tc>
          <w:tcPr>
            <w:tcW w:w="314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Urząd Miejski w Białymstoku                                  ul. Słonimska 1</w:t>
            </w:r>
          </w:p>
        </w:tc>
      </w:tr>
      <w:tr w:rsidR="00627FF5" w:rsidRPr="00627FF5" w:rsidTr="00AF016E">
        <w:trPr>
          <w:trHeight w:val="828"/>
        </w:trPr>
        <w:tc>
          <w:tcPr>
            <w:tcW w:w="507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Centrum Usług Informatycznych w Białymstoku                               ul. Warszawska 13 lok. 7U                                                       15-062 Białystok</w:t>
            </w:r>
          </w:p>
        </w:tc>
        <w:tc>
          <w:tcPr>
            <w:tcW w:w="2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27FF5" w:rsidRPr="00627FF5" w:rsidTr="00AF016E">
        <w:trPr>
          <w:trHeight w:val="345"/>
        </w:trPr>
        <w:tc>
          <w:tcPr>
            <w:tcW w:w="507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Numer identyfikacyjny REGON</w:t>
            </w:r>
          </w:p>
        </w:tc>
        <w:tc>
          <w:tcPr>
            <w:tcW w:w="2494" w:type="dxa"/>
            <w:gridSpan w:val="2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 dzień 31 grudnia 2019r.</w:t>
            </w:r>
          </w:p>
        </w:tc>
        <w:tc>
          <w:tcPr>
            <w:tcW w:w="3148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27FF5" w:rsidRPr="00627FF5" w:rsidTr="00AF016E">
        <w:trPr>
          <w:trHeight w:val="300"/>
        </w:trPr>
        <w:tc>
          <w:tcPr>
            <w:tcW w:w="507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381754873</w:t>
            </w:r>
          </w:p>
        </w:tc>
        <w:tc>
          <w:tcPr>
            <w:tcW w:w="24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A02FEA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wysłać</w:t>
            </w:r>
            <w:r w:rsidR="00627FF5" w:rsidRPr="00627F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bez pisma przewodniego</w:t>
            </w:r>
          </w:p>
        </w:tc>
      </w:tr>
      <w:tr w:rsidR="00627FF5" w:rsidRPr="00627FF5" w:rsidTr="00AF016E">
        <w:trPr>
          <w:trHeight w:val="46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Fundusz jednostki na początek okresu (BO)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5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lang w:eastAsia="pl-PL"/>
              </w:rPr>
              <w:t>Zwiększenia funduszu (z tytułu)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7 726 017,76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Zysk bilansowy za rok ubiegły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0,00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wydatki budżetowe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4 754 099,18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1.3.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81425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płatnoś</w:t>
            </w:r>
            <w:r w:rsidR="00627FF5"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ci ze środków europejskich 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1.4.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Środki na inwestycje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355 281,20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1.5.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814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Aktuali</w:t>
            </w:r>
            <w:r w:rsidR="0081425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</w:t>
            </w: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cja wyceny środków trwałych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1.6.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Nieodpłatnie otrzymane środki trwałe i środki trwałe w budowie oraz wartości niematerialne i prawne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2 616 637,38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1.7.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81425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przeję</w:t>
            </w:r>
            <w:bookmarkStart w:id="0" w:name="_GoBack"/>
            <w:bookmarkEnd w:id="0"/>
            <w:r w:rsidR="00627FF5"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 od zlikwidowanych  lub połączonych jednostek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1.8.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otrzymane w ramach centralnego zaopatrzenia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1.9.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Pozostałe odpisy z wyniku finansowego na rok bieżący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1.10.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Inne zwiększenia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4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2.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Zmniejszenia funduszu jednostki (z tytułu)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356 139,40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2.1.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Strata za rok ubiegły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2.2.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dochody budżetowe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858,20</w:t>
            </w:r>
          </w:p>
        </w:tc>
      </w:tr>
      <w:tr w:rsidR="00627FF5" w:rsidRPr="00627FF5" w:rsidTr="00AF016E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Rozliczenie wyniku finansowego i środków obrotowych za rok ubiegły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Dotacje i środki na inwestycje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355 281,20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2.5.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Aktualizacja środków trwałych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7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2.6.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Wartość sprzedanych i nieodpłatnie przekazanych środków trwałych i środków trwałych w budowie oraz wartości niematerialnych i prawnych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2.7.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Pasywa przejęte od zlikwidowanych lub połączonych jednostek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2.8.</w:t>
            </w:r>
          </w:p>
        </w:tc>
        <w:tc>
          <w:tcPr>
            <w:tcW w:w="45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przekazane w ramach centralnego zaopatrzenia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2.9.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Inne zmniejszenia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5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Fundusz jednostki na koniec okresu (BZ) 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7 369 878,36</w:t>
            </w:r>
          </w:p>
        </w:tc>
      </w:tr>
      <w:tr w:rsidR="00627FF5" w:rsidRPr="00627FF5" w:rsidTr="00AF016E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III.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Wynik finansowy netto za rok bieżący (+,-) 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-4 816 709,16</w:t>
            </w:r>
          </w:p>
        </w:tc>
      </w:tr>
      <w:tr w:rsidR="00627FF5" w:rsidRPr="00627FF5" w:rsidTr="00AF016E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zysk netto (+)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strata netto (-) 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-4 816 709,16</w:t>
            </w:r>
          </w:p>
        </w:tc>
      </w:tr>
      <w:tr w:rsidR="00627FF5" w:rsidRPr="00627FF5" w:rsidTr="00AF016E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nadwyżka środków obrotowych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627FF5" w:rsidRPr="00627FF5" w:rsidTr="00AF016E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</w:t>
            </w:r>
          </w:p>
        </w:tc>
        <w:tc>
          <w:tcPr>
            <w:tcW w:w="703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Fundusz ( II+,-III)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2 553 169,20</w:t>
            </w:r>
          </w:p>
        </w:tc>
      </w:tr>
      <w:tr w:rsidR="00627FF5" w:rsidRPr="00627FF5" w:rsidTr="00AF016E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27FF5" w:rsidRPr="00627FF5" w:rsidTr="00AF016E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27FF5" w:rsidRPr="00627FF5" w:rsidTr="00AF016E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27FF5" w:rsidRPr="00627FF5" w:rsidTr="00AF016E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27FF5" w:rsidRPr="00627FF5" w:rsidTr="00AF016E">
        <w:trPr>
          <w:trHeight w:val="264"/>
        </w:trPr>
        <w:tc>
          <w:tcPr>
            <w:tcW w:w="5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</w:t>
            </w:r>
            <w:r w:rsidR="00A02F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</w:t>
            </w:r>
            <w:r w:rsidR="00A02FEA" w:rsidRPr="00A02F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Krystyna Wojcieszyk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2020-03-12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A02FEA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02F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Krzysztof Lachowski</w:t>
            </w:r>
          </w:p>
        </w:tc>
      </w:tr>
      <w:tr w:rsidR="00627FF5" w:rsidRPr="00627FF5" w:rsidTr="00AF016E">
        <w:trPr>
          <w:trHeight w:val="26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/główny księgowy/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/rok, miesiąc, dzień/</w:t>
            </w:r>
          </w:p>
        </w:tc>
        <w:tc>
          <w:tcPr>
            <w:tcW w:w="3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FF5" w:rsidRPr="00627FF5" w:rsidRDefault="00627FF5" w:rsidP="00627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7F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/kierownik jednostki/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08"/>
        </w:trPr>
        <w:tc>
          <w:tcPr>
            <w:tcW w:w="65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lastRenderedPageBreak/>
              <w:t>INFORMACJA DODATKOWA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Centrum Usług Informatycznych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Razem</w:t>
            </w:r>
          </w:p>
        </w:tc>
      </w:tr>
      <w:tr w:rsidR="005C3228" w:rsidRPr="005C3228" w:rsidTr="001623AD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C3228" w:rsidRPr="005C3228" w:rsidRDefault="005C3228" w:rsidP="005C32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5C3228" w:rsidRDefault="005C3228" w:rsidP="005C32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1623AD">
        <w:trPr>
          <w:gridBefore w:val="2"/>
          <w:gridAfter w:val="1"/>
          <w:wBefore w:w="802" w:type="dxa"/>
          <w:wAfter w:w="148" w:type="dxa"/>
          <w:trHeight w:val="576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I.</w:t>
            </w:r>
          </w:p>
        </w:tc>
        <w:tc>
          <w:tcPr>
            <w:tcW w:w="5971" w:type="dxa"/>
            <w:gridSpan w:val="2"/>
            <w:tcBorders>
              <w:top w:val="single" w:sz="8" w:space="0" w:color="auto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Wprowadzenie do sprawozdania finansowego, obejmuje w szczególności: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nazwę jednostki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Centrum Usług Informatycznych w Białymstoku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siedzibę jednostki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1.3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adres jednostki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15-062 Białystok ul. Warszawska 13 lok 7U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1.4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podstawowy przedmiot działalności jednostki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6203Z  DZIAŁALNOŚĆ ZWIĄZANA Z ZARZĄDZANIEM URZĄDZENIAMI INFORMATYCZNYMI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wskazanie okresu objętego sprawozdaniem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Za okres od 01.01.2019 r. do 31.12.2019 r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wskazanie, że sprawozdanie finansowe zawiera dane łączne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6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omówienie przyjętych zasad (polityki) rachunkowości, w tym metod wyceny aktywów i pasywów (także amortyzacji)</w:t>
            </w:r>
          </w:p>
        </w:tc>
        <w:tc>
          <w:tcPr>
            <w:tcW w:w="1701" w:type="dxa"/>
            <w:gridSpan w:val="2"/>
            <w:tcBorders>
              <w:top w:val="single" w:sz="8" w:space="0" w:color="2E2014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2E2014"/>
              <w:left w:val="nil"/>
              <w:bottom w:val="single" w:sz="4" w:space="0" w:color="auto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AF016E" w:rsidRPr="005C3228" w:rsidTr="00AF016E">
        <w:trPr>
          <w:gridBefore w:val="2"/>
          <w:gridAfter w:val="1"/>
          <w:wBefore w:w="802" w:type="dxa"/>
          <w:wAfter w:w="148" w:type="dxa"/>
          <w:trHeight w:val="1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•</w:t>
            </w: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 Księgi rachunkowe </w:t>
            </w: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 xml:space="preserve">Centrum Usług Informatycznych prowadzone są w siedzibie jednostki.                                                                                   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92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 xml:space="preserve">• Rokiem obrotowym jest okres 12 miesięcy od 1 stycznia do 31 grudnia każdego roku   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92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• Okresami sprawozdawczymi są poszczególne miesiące, kwartały, półrocza w roku obrotowym i koniec roku.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1212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• Zakładowy plan kont 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92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 xml:space="preserve">• Zasady przeprowadzania i rozliczania inwentaryzacji w jednostce określa Instrukcja inwentaryzacji. 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F016E" w:rsidRPr="005C3228" w:rsidTr="00AF016E">
        <w:trPr>
          <w:gridBefore w:val="2"/>
          <w:gridAfter w:val="1"/>
          <w:wBefore w:w="802" w:type="dxa"/>
          <w:wAfter w:w="148" w:type="dxa"/>
          <w:trHeight w:val="1452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 xml:space="preserve">• Rodzaje dowodów księgowych, sposób ich obiegu, kontroli i archiwizowania, a także sposób ochrony dokumentów księgowych w jednostce określa Instrukcja  obiegu dokumentów finansowo - księgowych, Regulamin kontroli wewnętrznej oraz sporządzania dokumentów finansowo - księgowych i inne zarządzenia wewnętrzne jednostki. 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36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• Środki trwałe oraz wartości niematerialne i prawne – w zależności od tego w jaki sposób zostały przyjęte wycenia się według: ceny nabycia lub ceny zakupu, wartości godziwej, w wysokości określonej w decyzji o przekazaniu w sposób nieodpłatny – lub w cenie rynkowej, w wartości ewidencyjnej określonej w PT. Na dzień bilansowy środki trwałe są wyceniane w wartości netto tj. z uwzględnieniem odpisów umorzeniowych ustalonych na dzień bilansowy. Umarza się jednorazowo i w całości zalicza się w koszty w momencie przyjęcia do eksploatacji składniki majątkowe takie jak  meble, dywany, wykładziny oraz pozostałe środki trwałe i wartości niematerialne i prawne o wartości nieprzekraczającej 10.000 zł. Przy ustalaniu stawek amortyzacyjnych (umorzeniowych) stosuje się stawki określone w przepisach o podatku dochodowym od osób prawnych. W jednostce przyjęta jest metoda – liniowa  dla wszystkich środków trwałych. Środki trwałe w budowie wycenia się na dzień bilansowy w wysokości kosztów pozostających w bezpośrednim związku z ich nabyciem.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1893"/>
        </w:trPr>
        <w:tc>
          <w:tcPr>
            <w:tcW w:w="5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• Metody wyceny aktywów i pasywów. Przyjmuje sie zasady wyceny aktywów i pasywów zgodnie z ustawą o rachunkowości z uwzględnieniem przepisów ustawy o finansach publicznych oraz rozporządzenia w sprawie szczególnych zasad rachunkowości. Aktywa i pasywa wycenia się nie rzadziej niż na dzień bilansowy.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00"/>
        </w:trPr>
        <w:tc>
          <w:tcPr>
            <w:tcW w:w="540" w:type="dxa"/>
            <w:tcBorders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1701" w:type="dxa"/>
            <w:gridSpan w:val="2"/>
            <w:tcBorders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20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25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II.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27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120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2E2014"/>
              <w:bottom w:val="single" w:sz="8" w:space="0" w:color="000000"/>
              <w:right w:val="single" w:sz="8" w:space="0" w:color="2E2014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58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nil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– podobne przedstawienie stanów i tytułów zmian dotychczasowej amortyzacji lub umorzenia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2E2014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2E2014"/>
              <w:bottom w:val="single" w:sz="8" w:space="0" w:color="000000"/>
              <w:right w:val="single" w:sz="8" w:space="0" w:color="2E2014"/>
            </w:tcBorders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O11 - Środki trwałe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5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ZW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3 591 613,74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3 591 613,74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6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ZM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3 591 613,74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3 591 613,74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O13 - Pozostałe środki trwałe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ZW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170 192,38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170 192,38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ZM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12 300,00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12 300,00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157 892,38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157 892,38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5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O20 - Wartości niematerialne i prawne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ZW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167 244,73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167 244,73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ZM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167 244,73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167 244,73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6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O71 - Umorzenie środków trwałych oraz wartości niematerialnych i prawnych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5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884 053,41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884 053,41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6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O72 - Umorzenie pozostałych środków trwałych oraz wartości niematerialnych i prawnych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173 500,99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173 500,99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9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1.2.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aktualną wartość rynkową środków trwałych, w tym dóbr kultury – o ile jednostka dysponuje takimi informacjami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3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1.3.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1.4.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wartość gruntów użytkowanych wieczyście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1.5.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1.6.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liczbę oraz wartość posiadanych papierów wartościowych, w tym akcji i udziałów oraz dłużnych papierów wartościowych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4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ilość udziałów - szt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wartości - zł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1.7.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BO            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7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ZW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 xml:space="preserve">ZM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BZ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3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1.8.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dane o stanie rezerw według celu ich utworzenia na początek roku obrotowego, zwiększeniach, wykorzystaniu, rozwiązaniu i stanie końcowym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rezerwy na realizację inwestycji -BO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wykorzystanie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 xml:space="preserve"> rozwiązanie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zawiązanie nowych rezerw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2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 końcowy realizacji inwestycji - BZ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3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1.9.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podział  zobowiązań   długoterminowych  o   pozostałym   od   dnia   bilansowego, przewidywanym umową lub wynikającym z innego tytułu prawnego, okresie spłaty: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a)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1 roku do 3 lat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b)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3 do 5 lat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c)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powyżej 5 lat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121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1.10.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28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1.11.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zobowiązań zabezpieczonych na majątku jednostki ze wskazaniem charakteru i formy tych zabezpieczeń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97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1.12.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4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51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1.13.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 xml:space="preserve">rozliczenia czynne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rozliczenia bierne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49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1.14.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łączną kwotę otrzymanych przez jednostkę gwarancji i poręczeń niewykazanych w bilansie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1.15.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wypłaconych środków pieniężnych na świadczenia pracownicze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3 991 126,65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3 991 126,65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3 991 126,65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1.16.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52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000000" w:fill="FFFFFF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2E2014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2.1.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wysokość odpisów aktualizujących wartość zapasów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6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2.2.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54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2.3.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kwotę i charakter poszczególnych pozycji przychodów lub kosztów o nadzwyczajnej wartości lub które wystąpiły incydentalnie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1623AD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1623AD">
        <w:trPr>
          <w:gridBefore w:val="2"/>
          <w:gridAfter w:val="1"/>
          <w:wBefore w:w="802" w:type="dxa"/>
          <w:wAfter w:w="148" w:type="dxa"/>
          <w:trHeight w:val="54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lastRenderedPageBreak/>
              <w:t>2.4.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2.5.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single" w:sz="8" w:space="0" w:color="2E2014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73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59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2E2014"/>
                <w:sz w:val="18"/>
                <w:szCs w:val="18"/>
                <w:lang w:eastAsia="pl-PL"/>
              </w:rPr>
              <w:t>Inne informacje niż wymienione powyżej, jeżeli mogłyby w istotny sposób wpłynąć na ocenę sytuacji majątkowej i finansowej oraz wynik finansowy jednostki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2E2014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X</w:t>
            </w:r>
          </w:p>
        </w:tc>
      </w:tr>
      <w:tr w:rsidR="005C3228" w:rsidRPr="005C3228" w:rsidTr="00AF016E">
        <w:trPr>
          <w:gridBefore w:val="2"/>
          <w:gridAfter w:val="1"/>
          <w:wBefore w:w="802" w:type="dxa"/>
          <w:wAfter w:w="148" w:type="dxa"/>
          <w:trHeight w:val="32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5C3228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C3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228" w:rsidRPr="001623AD" w:rsidRDefault="005C3228" w:rsidP="005C3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C3228" w:rsidRPr="001623AD" w:rsidRDefault="005C3228" w:rsidP="005C3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6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</w:tbl>
    <w:p w:rsidR="00627FF5" w:rsidRDefault="00627FF5"/>
    <w:p w:rsidR="00AF016E" w:rsidRDefault="00AF016E"/>
    <w:p w:rsidR="00AF016E" w:rsidRDefault="00AF016E">
      <w:pPr>
        <w:rPr>
          <w:rFonts w:ascii="Times New Roman" w:hAnsi="Times New Roman" w:cs="Times New Roman"/>
        </w:rPr>
      </w:pPr>
      <w:r w:rsidRPr="00AF016E">
        <w:rPr>
          <w:rFonts w:ascii="Times New Roman" w:hAnsi="Times New Roman" w:cs="Times New Roman"/>
        </w:rPr>
        <w:t>Krystyna Wojcieszyk</w:t>
      </w:r>
      <w:r>
        <w:rPr>
          <w:rFonts w:ascii="Times New Roman" w:hAnsi="Times New Roman" w:cs="Times New Roman"/>
        </w:rPr>
        <w:t xml:space="preserve">                                    2020-03-12                                 Krzysztof Lachowski</w:t>
      </w:r>
    </w:p>
    <w:p w:rsidR="00AF016E" w:rsidRPr="00AF016E" w:rsidRDefault="00AF016E">
      <w:pPr>
        <w:rPr>
          <w:rFonts w:ascii="Times New Roman" w:hAnsi="Times New Roman" w:cs="Times New Roman"/>
          <w:sz w:val="18"/>
          <w:szCs w:val="18"/>
        </w:rPr>
      </w:pPr>
      <w:r w:rsidRPr="00AF016E">
        <w:rPr>
          <w:rFonts w:ascii="Times New Roman" w:hAnsi="Times New Roman" w:cs="Times New Roman"/>
          <w:sz w:val="18"/>
          <w:szCs w:val="18"/>
        </w:rPr>
        <w:t xml:space="preserve">  /główny księgowy/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AF016E">
        <w:rPr>
          <w:rFonts w:ascii="Times New Roman" w:hAnsi="Times New Roman" w:cs="Times New Roman"/>
          <w:sz w:val="18"/>
          <w:szCs w:val="18"/>
        </w:rPr>
        <w:t xml:space="preserve">         /rok, miesiąc, dzień/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AF016E">
        <w:rPr>
          <w:rFonts w:ascii="Times New Roman" w:hAnsi="Times New Roman" w:cs="Times New Roman"/>
          <w:sz w:val="18"/>
          <w:szCs w:val="18"/>
        </w:rPr>
        <w:t xml:space="preserve">         /kierownik jednostki/</w:t>
      </w:r>
    </w:p>
    <w:sectPr w:rsidR="00AF016E" w:rsidRPr="00AF016E" w:rsidSect="00AF016E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228" w:rsidRDefault="005C3228" w:rsidP="00A02FEA">
      <w:pPr>
        <w:spacing w:after="0" w:line="240" w:lineRule="auto"/>
      </w:pPr>
      <w:r>
        <w:separator/>
      </w:r>
    </w:p>
  </w:endnote>
  <w:endnote w:type="continuationSeparator" w:id="0">
    <w:p w:rsidR="005C3228" w:rsidRDefault="005C3228" w:rsidP="00A0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228" w:rsidRDefault="005C3228" w:rsidP="00A02FEA">
      <w:pPr>
        <w:spacing w:after="0" w:line="240" w:lineRule="auto"/>
      </w:pPr>
      <w:r>
        <w:separator/>
      </w:r>
    </w:p>
  </w:footnote>
  <w:footnote w:type="continuationSeparator" w:id="0">
    <w:p w:rsidR="005C3228" w:rsidRDefault="005C3228" w:rsidP="00A02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DB6"/>
    <w:rsid w:val="001623AD"/>
    <w:rsid w:val="004C6DB6"/>
    <w:rsid w:val="005C3228"/>
    <w:rsid w:val="00627FF5"/>
    <w:rsid w:val="00814255"/>
    <w:rsid w:val="00962692"/>
    <w:rsid w:val="00A02FEA"/>
    <w:rsid w:val="00AF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D322"/>
  <w15:chartTrackingRefBased/>
  <w15:docId w15:val="{D35834BD-50EE-463F-AAAA-9BD9FB11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2496</Words>
  <Characters>14979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2020-05-28T17:07:00Z</dcterms:created>
  <dcterms:modified xsi:type="dcterms:W3CDTF">2020-05-29T05:49:00Z</dcterms:modified>
</cp:coreProperties>
</file>